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7C" w:rsidRPr="00AA4C49" w:rsidRDefault="00373F7C" w:rsidP="00AA4C49">
      <w:pPr>
        <w:pStyle w:val="Heading1"/>
        <w:rPr>
          <w:sz w:val="44"/>
          <w:szCs w:val="44"/>
        </w:rPr>
      </w:pPr>
      <w:r w:rsidRPr="00AA4C49">
        <w:rPr>
          <w:sz w:val="44"/>
          <w:szCs w:val="44"/>
        </w:rPr>
        <w:t>Taxability of salaried individuals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1"/>
          <w:szCs w:val="51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AA4C49">
        <w:rPr>
          <w:rFonts w:cstheme="minorHAnsi"/>
          <w:b/>
          <w:color w:val="C00000"/>
        </w:rPr>
        <w:t>SALARY AND TAXABILITY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5B2A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B2A6F">
        <w:rPr>
          <w:rFonts w:cstheme="minorHAnsi"/>
          <w:b/>
          <w:color w:val="C00000"/>
        </w:rPr>
        <w:t>What is previous year?</w:t>
      </w:r>
    </w:p>
    <w:p w:rsidR="00AA4C49" w:rsidRPr="00AA4C49" w:rsidRDefault="00AA4C49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Previous year means financial year</w:t>
      </w:r>
      <w:r w:rsidR="00AA4C49" w:rsidRP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starting from 01 April and ending on</w:t>
      </w:r>
      <w:r w:rsid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 xml:space="preserve">31st March. </w:t>
      </w:r>
      <w:proofErr w:type="spellStart"/>
      <w:proofErr w:type="gramStart"/>
      <w:r w:rsidRPr="00AA4C49">
        <w:rPr>
          <w:rFonts w:cstheme="minorHAnsi"/>
          <w:color w:val="000000"/>
        </w:rPr>
        <w:t>Eg</w:t>
      </w:r>
      <w:proofErr w:type="spellEnd"/>
      <w:r w:rsidRPr="00AA4C49">
        <w:rPr>
          <w:rFonts w:cstheme="minorHAnsi"/>
          <w:color w:val="000000"/>
        </w:rPr>
        <w:t>.</w:t>
      </w:r>
      <w:proofErr w:type="gramEnd"/>
      <w:r w:rsidRPr="00AA4C49">
        <w:rPr>
          <w:rFonts w:cstheme="minorHAnsi"/>
          <w:color w:val="000000"/>
        </w:rPr>
        <w:t xml:space="preserve"> The current previous</w:t>
      </w:r>
      <w:r w:rsidR="00AA4C49" w:rsidRP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year is 2015</w:t>
      </w:r>
      <w:r w:rsidR="00AA4C49" w:rsidRP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2016.</w:t>
      </w:r>
    </w:p>
    <w:p w:rsidR="00AA4C49" w:rsidRPr="00AA4C49" w:rsidRDefault="00AA4C49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5B2A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B2A6F">
        <w:rPr>
          <w:rFonts w:cstheme="minorHAnsi"/>
          <w:b/>
          <w:color w:val="C00000"/>
        </w:rPr>
        <w:t>What is Assessment Year?</w:t>
      </w:r>
    </w:p>
    <w:p w:rsidR="00AA4C49" w:rsidRPr="00AA4C49" w:rsidRDefault="00AA4C49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Every previous year shall have an assessment year. Assessment year for a previous</w:t>
      </w:r>
      <w:r w:rsid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year is the following year starting on 01 April. In other words, assessment year is the</w:t>
      </w:r>
      <w:r w:rsid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next year after a previous year.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AA4C49">
        <w:rPr>
          <w:rFonts w:cstheme="minorHAnsi"/>
          <w:color w:val="000000"/>
        </w:rPr>
        <w:t>Eg</w:t>
      </w:r>
      <w:proofErr w:type="spellEnd"/>
      <w:r w:rsidRPr="00AA4C49">
        <w:rPr>
          <w:rFonts w:cstheme="minorHAnsi"/>
          <w:color w:val="000000"/>
        </w:rPr>
        <w:t>.</w:t>
      </w:r>
      <w:proofErr w:type="gramEnd"/>
      <w:r w:rsidRPr="00AA4C49">
        <w:rPr>
          <w:rFonts w:cstheme="minorHAnsi"/>
          <w:color w:val="000000"/>
        </w:rPr>
        <w:t xml:space="preserve"> For previous year 2005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06</w:t>
      </w:r>
      <w:proofErr w:type="gramStart"/>
      <w:r w:rsidRPr="00AA4C49">
        <w:rPr>
          <w:rFonts w:cstheme="minorHAnsi"/>
          <w:color w:val="000000"/>
        </w:rPr>
        <w:t>,the</w:t>
      </w:r>
      <w:proofErr w:type="gramEnd"/>
      <w:r w:rsidRPr="00AA4C49">
        <w:rPr>
          <w:rFonts w:cstheme="minorHAnsi"/>
          <w:color w:val="000000"/>
        </w:rPr>
        <w:t xml:space="preserve"> assessment year is 2006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07.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For previous year2012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13,</w:t>
      </w:r>
      <w:r w:rsid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the assessment year is 2013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14.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 xml:space="preserve">For the current previous year </w:t>
      </w:r>
      <w:proofErr w:type="spellStart"/>
      <w:r w:rsidRPr="00AA4C49">
        <w:rPr>
          <w:rFonts w:cstheme="minorHAnsi"/>
          <w:color w:val="000000"/>
        </w:rPr>
        <w:t>ie</w:t>
      </w:r>
      <w:proofErr w:type="spellEnd"/>
      <w:r w:rsidRPr="00AA4C49">
        <w:rPr>
          <w:rFonts w:cstheme="minorHAnsi"/>
          <w:color w:val="000000"/>
        </w:rPr>
        <w:t xml:space="preserve"> 2016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17,</w:t>
      </w:r>
      <w:r w:rsidR="00AA4C49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the assessment year is 2017</w:t>
      </w:r>
      <w:r w:rsidR="00AA4C49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18.</w:t>
      </w:r>
    </w:p>
    <w:p w:rsidR="00DC3B90" w:rsidRPr="00AA4C49" w:rsidRDefault="00DC3B90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5B2A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B2A6F">
        <w:rPr>
          <w:rFonts w:cstheme="minorHAnsi"/>
          <w:b/>
          <w:color w:val="C00000"/>
        </w:rPr>
        <w:t>Salary</w:t>
      </w:r>
    </w:p>
    <w:p w:rsidR="00DC3B90" w:rsidRPr="00DC3B90" w:rsidRDefault="00DC3B90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As per Income Tax Act, 1961 salary includes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Basic salary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Bonus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Allowances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Perquisites, commission in addition to salary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Perquisites, commission in addition to salary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Pension or annuity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Gratuity (fully exempt in case of govt. employee)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Advance salary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Taxable portion of recognized provident fund</w:t>
      </w:r>
    </w:p>
    <w:p w:rsidR="00373F7C" w:rsidRPr="00DC3B90" w:rsidRDefault="00373F7C" w:rsidP="00DC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B90">
        <w:rPr>
          <w:rFonts w:cstheme="minorHAnsi"/>
          <w:color w:val="000000"/>
        </w:rPr>
        <w:t>Payment received with respect to any period of leave not availed by him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The employer shall calculate the total salary of each employee.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Salary is computed as follows: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 xml:space="preserve">1. The taxable portions of the </w:t>
      </w:r>
      <w:proofErr w:type="spellStart"/>
      <w:r w:rsidRPr="00AA4C49">
        <w:rPr>
          <w:rFonts w:cstheme="minorHAnsi"/>
          <w:color w:val="000000"/>
        </w:rPr>
        <w:t>abovelisted</w:t>
      </w:r>
      <w:proofErr w:type="spellEnd"/>
      <w:r w:rsidR="00B74860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constituents of salary are summed up.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AA4C49">
        <w:rPr>
          <w:rFonts w:cstheme="minorHAnsi"/>
          <w:color w:val="000000"/>
        </w:rPr>
        <w:t>Eg</w:t>
      </w:r>
      <w:proofErr w:type="spellEnd"/>
      <w:r w:rsidRPr="00AA4C49">
        <w:rPr>
          <w:rFonts w:cstheme="minorHAnsi"/>
          <w:color w:val="000000"/>
        </w:rPr>
        <w:t>.</w:t>
      </w:r>
      <w:proofErr w:type="gramEnd"/>
      <w:r w:rsidRPr="00AA4C49">
        <w:rPr>
          <w:rFonts w:cstheme="minorHAnsi"/>
          <w:color w:val="000000"/>
        </w:rPr>
        <w:t xml:space="preserve"> Basic salary, dearness allowance, city compensatory allowance, taxable</w:t>
      </w:r>
      <w:r w:rsidR="00B74860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portion o</w:t>
      </w:r>
      <w:r w:rsidR="00B74860">
        <w:rPr>
          <w:rFonts w:cstheme="minorHAnsi"/>
          <w:color w:val="000000"/>
        </w:rPr>
        <w:t xml:space="preserve">f house rent </w:t>
      </w:r>
      <w:r w:rsidRPr="00AA4C49">
        <w:rPr>
          <w:rFonts w:cstheme="minorHAnsi"/>
          <w:color w:val="000000"/>
        </w:rPr>
        <w:t>allowance, etc are summed up.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2. From this entertainment allowance and professional taxes paid, if any are</w:t>
      </w:r>
      <w:r w:rsidR="00B74860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reduced.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3. Now we arrive at ‘SALARY INCOME.’</w:t>
      </w:r>
    </w:p>
    <w:p w:rsidR="00B74860" w:rsidRPr="00AA4C49" w:rsidRDefault="00B74860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B74860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B74860">
        <w:rPr>
          <w:rFonts w:cstheme="minorHAnsi"/>
          <w:b/>
          <w:color w:val="FF0000"/>
        </w:rPr>
        <w:t>How to calculate taxable House Rent Allowance</w:t>
      </w:r>
    </w:p>
    <w:p w:rsidR="00B74860" w:rsidRPr="00B74860" w:rsidRDefault="00B74860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House rent allowance is taxable in the hands of the employee. But the Income Tax Act</w:t>
      </w:r>
      <w:r w:rsidR="00B74860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provides for an exemption to the least of the following:</w:t>
      </w:r>
    </w:p>
    <w:p w:rsidR="00373F7C" w:rsidRPr="00B74860" w:rsidRDefault="00373F7C" w:rsidP="00B74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860">
        <w:rPr>
          <w:rFonts w:cstheme="minorHAnsi"/>
          <w:color w:val="000000"/>
        </w:rPr>
        <w:t>Actual amount</w:t>
      </w:r>
      <w:r w:rsidR="00B74860" w:rsidRPr="00B74860">
        <w:rPr>
          <w:rFonts w:cstheme="minorHAnsi"/>
          <w:color w:val="000000"/>
        </w:rPr>
        <w:t xml:space="preserve"> </w:t>
      </w:r>
      <w:r w:rsidRPr="00B74860">
        <w:rPr>
          <w:rFonts w:cstheme="minorHAnsi"/>
          <w:color w:val="000000"/>
        </w:rPr>
        <w:t>of HRA received</w:t>
      </w:r>
    </w:p>
    <w:p w:rsidR="00373F7C" w:rsidRPr="00B74860" w:rsidRDefault="00373F7C" w:rsidP="00B74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860">
        <w:rPr>
          <w:rFonts w:cstheme="minorHAnsi"/>
          <w:color w:val="000000"/>
        </w:rPr>
        <w:t>40% of salary</w:t>
      </w:r>
    </w:p>
    <w:p w:rsidR="00373F7C" w:rsidRPr="00B74860" w:rsidRDefault="00373F7C" w:rsidP="00B74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860">
        <w:rPr>
          <w:rFonts w:cstheme="minorHAnsi"/>
          <w:color w:val="000000"/>
        </w:rPr>
        <w:lastRenderedPageBreak/>
        <w:t>Excess of rent paid over 10% of salary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Here, salary means basic salary + dearness allowance.</w:t>
      </w:r>
    </w:p>
    <w:tbl>
      <w:tblPr>
        <w:tblStyle w:val="TableGrid"/>
        <w:tblW w:w="0" w:type="auto"/>
        <w:tblLook w:val="04A0"/>
      </w:tblPr>
      <w:tblGrid>
        <w:gridCol w:w="682"/>
        <w:gridCol w:w="3047"/>
        <w:gridCol w:w="940"/>
      </w:tblGrid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AA4C49">
              <w:rPr>
                <w:rFonts w:cstheme="minorHAnsi"/>
                <w:color w:val="000000"/>
              </w:rPr>
              <w:t>Sl.No</w:t>
            </w:r>
            <w:proofErr w:type="spellEnd"/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Particulars</w:t>
            </w:r>
          </w:p>
        </w:tc>
        <w:tc>
          <w:tcPr>
            <w:tcW w:w="0" w:type="auto"/>
          </w:tcPr>
          <w:p w:rsidR="00B74860" w:rsidRPr="00AA4C49" w:rsidRDefault="00B74860" w:rsidP="00B748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Amount</w:t>
            </w:r>
          </w:p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Basic + DA+ bonus+ other items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XX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Taxable portion of allowances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XX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Taxation portion of perquisite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XX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Gross Salary(1+2+3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</w:tcPr>
          <w:p w:rsidR="00B74860" w:rsidRPr="00524C08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24C08">
              <w:rPr>
                <w:rFonts w:cstheme="minorHAnsi"/>
                <w:b/>
                <w:color w:val="000000"/>
              </w:rPr>
              <w:t>XX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Less: Entertainment allowance</w:t>
            </w:r>
          </w:p>
        </w:tc>
        <w:tc>
          <w:tcPr>
            <w:tcW w:w="0" w:type="auto"/>
          </w:tcPr>
          <w:p w:rsidR="00B74860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="00B74860" w:rsidRPr="00AA4C49">
              <w:rPr>
                <w:rFonts w:cstheme="minorHAnsi"/>
                <w:color w:val="000000"/>
              </w:rPr>
              <w:t>XX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Less: Professional tax paid</w:t>
            </w:r>
          </w:p>
        </w:tc>
        <w:tc>
          <w:tcPr>
            <w:tcW w:w="0" w:type="auto"/>
          </w:tcPr>
          <w:p w:rsidR="00B74860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AA4C49">
              <w:rPr>
                <w:rFonts w:cstheme="minorHAnsi"/>
                <w:color w:val="000000"/>
              </w:rPr>
              <w:t>XX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B74860" w:rsidTr="00B74860"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</w:tcPr>
          <w:p w:rsidR="00B74860" w:rsidRDefault="00B74860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INCOME FROM SALARIES</w:t>
            </w:r>
          </w:p>
        </w:tc>
        <w:tc>
          <w:tcPr>
            <w:tcW w:w="0" w:type="auto"/>
          </w:tcPr>
          <w:p w:rsidR="00B74860" w:rsidRP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24C08">
              <w:rPr>
                <w:rFonts w:cstheme="minorHAnsi"/>
                <w:b/>
                <w:color w:val="000000"/>
              </w:rPr>
              <w:t>XX</w:t>
            </w:r>
          </w:p>
        </w:tc>
      </w:tr>
    </w:tbl>
    <w:p w:rsidR="00762EAA" w:rsidRDefault="00762EAA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524C08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24C08">
        <w:rPr>
          <w:rFonts w:cstheme="minorHAnsi"/>
          <w:b/>
          <w:color w:val="000000"/>
        </w:rPr>
        <w:t>House Property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If taxpayer receives rent from building let out, the rental income is taxed under the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head ‘INCOME FROM HOUSE PROPERTY’. Municipal taxes paid can be reduced.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From this reduced amount, 30% deduction is allowed for repairs and maintenance.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Interest on housing loan taken can be reduced up to a maximum of Rs. 2,00,000 in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assessment Year 2016</w:t>
      </w:r>
      <w:r w:rsidR="00524C08">
        <w:rPr>
          <w:rFonts w:cstheme="minorHAnsi"/>
          <w:color w:val="000000"/>
        </w:rPr>
        <w:t>-</w:t>
      </w:r>
      <w:r w:rsidRPr="00AA4C49">
        <w:rPr>
          <w:rFonts w:cstheme="minorHAnsi"/>
          <w:color w:val="000000"/>
        </w:rPr>
        <w:t>17,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in case of self occupied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properties. For let out properties</w:t>
      </w:r>
      <w:r w:rsidR="00524C08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full amount of interest is deductible.</w:t>
      </w:r>
    </w:p>
    <w:p w:rsidR="00524C08" w:rsidRDefault="00524C08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7752" w:type="dxa"/>
        <w:tblInd w:w="937" w:type="dxa"/>
        <w:tblLook w:val="04A0"/>
      </w:tblPr>
      <w:tblGrid>
        <w:gridCol w:w="1691"/>
        <w:gridCol w:w="3160"/>
        <w:gridCol w:w="2901"/>
      </w:tblGrid>
      <w:tr w:rsidR="00524C08" w:rsidTr="007E296F">
        <w:trPr>
          <w:trHeight w:val="167"/>
        </w:trPr>
        <w:tc>
          <w:tcPr>
            <w:tcW w:w="1691" w:type="dxa"/>
          </w:tcPr>
          <w:p w:rsidR="00524C08" w:rsidRPr="00AA4C49" w:rsidRDefault="00524C08" w:rsidP="007E29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proofErr w:type="spellStart"/>
            <w:r w:rsidRPr="00AA4C49">
              <w:rPr>
                <w:rFonts w:cstheme="minorHAnsi"/>
                <w:color w:val="000000"/>
              </w:rPr>
              <w:t>Sl</w:t>
            </w:r>
            <w:proofErr w:type="spellEnd"/>
            <w:r w:rsidR="007E296F">
              <w:rPr>
                <w:rFonts w:cstheme="minorHAnsi"/>
                <w:color w:val="000000"/>
              </w:rPr>
              <w:t xml:space="preserve"> </w:t>
            </w:r>
            <w:r w:rsidRPr="00AA4C49">
              <w:rPr>
                <w:rFonts w:cstheme="minorHAnsi"/>
                <w:color w:val="000000"/>
              </w:rPr>
              <w:t>.No</w:t>
            </w:r>
          </w:p>
          <w:p w:rsidR="00524C08" w:rsidRDefault="00524C08" w:rsidP="007E29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60" w:type="dxa"/>
          </w:tcPr>
          <w:p w:rsidR="00524C08" w:rsidRDefault="00524C08" w:rsidP="007E29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Particulars</w:t>
            </w:r>
          </w:p>
        </w:tc>
        <w:tc>
          <w:tcPr>
            <w:tcW w:w="2901" w:type="dxa"/>
          </w:tcPr>
          <w:p w:rsidR="00524C08" w:rsidRPr="00AA4C49" w:rsidRDefault="00524C08" w:rsidP="007E29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Amount</w:t>
            </w:r>
          </w:p>
          <w:p w:rsidR="00524C08" w:rsidRDefault="00524C08" w:rsidP="007E29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187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160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Rent received</w:t>
            </w:r>
          </w:p>
        </w:tc>
        <w:tc>
          <w:tcPr>
            <w:tcW w:w="2901" w:type="dxa"/>
          </w:tcPr>
          <w:p w:rsidR="00524C08" w:rsidRPr="00AA4C49" w:rsidRDefault="00524C08" w:rsidP="00524C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XX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291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160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Less: Municipal taxes paid</w:t>
            </w:r>
          </w:p>
        </w:tc>
        <w:tc>
          <w:tcPr>
            <w:tcW w:w="2901" w:type="dxa"/>
          </w:tcPr>
          <w:p w:rsidR="00524C08" w:rsidRPr="00AA4C49" w:rsidRDefault="00524C08" w:rsidP="00524C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(XX)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285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3160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Net Annual Value</w:t>
            </w:r>
          </w:p>
        </w:tc>
        <w:tc>
          <w:tcPr>
            <w:tcW w:w="2901" w:type="dxa"/>
          </w:tcPr>
          <w:p w:rsidR="00524C08" w:rsidRPr="00AA4C49" w:rsidRDefault="00524C08" w:rsidP="00524C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XX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285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160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Less: 30% deduction on (3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901" w:type="dxa"/>
          </w:tcPr>
          <w:p w:rsidR="00524C08" w:rsidRPr="00AA4C49" w:rsidRDefault="00524C08" w:rsidP="00524C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(XX)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479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160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Less: Interest on housing loan</w:t>
            </w:r>
          </w:p>
        </w:tc>
        <w:tc>
          <w:tcPr>
            <w:tcW w:w="2901" w:type="dxa"/>
          </w:tcPr>
          <w:p w:rsidR="00524C08" w:rsidRPr="00AA4C49" w:rsidRDefault="00524C08" w:rsidP="00524C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(XX)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24C08" w:rsidTr="007E296F">
        <w:trPr>
          <w:trHeight w:val="388"/>
        </w:trPr>
        <w:tc>
          <w:tcPr>
            <w:tcW w:w="1691" w:type="dxa"/>
          </w:tcPr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3160" w:type="dxa"/>
          </w:tcPr>
          <w:p w:rsidR="00524C08" w:rsidRDefault="0033702D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INCOME FROM HOUSE PROPERTY</w:t>
            </w:r>
          </w:p>
        </w:tc>
        <w:tc>
          <w:tcPr>
            <w:tcW w:w="2901" w:type="dxa"/>
          </w:tcPr>
          <w:p w:rsidR="0033702D" w:rsidRPr="00AA4C49" w:rsidRDefault="0033702D" w:rsidP="003370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XX</w:t>
            </w:r>
          </w:p>
          <w:p w:rsidR="00524C08" w:rsidRDefault="00524C08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524C08" w:rsidRPr="00AA4C49" w:rsidRDefault="00524C08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 xml:space="preserve"> Income from Other Sources</w:t>
      </w:r>
    </w:p>
    <w:p w:rsidR="007E296F" w:rsidRPr="007E296F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 xml:space="preserve">It includes income not taxed in other heads of Income. </w:t>
      </w:r>
      <w:proofErr w:type="spellStart"/>
      <w:proofErr w:type="gramStart"/>
      <w:r w:rsidRPr="00AA4C49">
        <w:rPr>
          <w:rFonts w:cstheme="minorHAnsi"/>
          <w:color w:val="000000"/>
        </w:rPr>
        <w:t>Eg</w:t>
      </w:r>
      <w:proofErr w:type="spellEnd"/>
      <w:r w:rsidRPr="00AA4C49">
        <w:rPr>
          <w:rFonts w:cstheme="minorHAnsi"/>
          <w:color w:val="000000"/>
        </w:rPr>
        <w:t>.</w:t>
      </w:r>
      <w:proofErr w:type="gramEnd"/>
      <w:r w:rsidRPr="00AA4C49">
        <w:rPr>
          <w:rFonts w:cstheme="minorHAnsi"/>
          <w:color w:val="000000"/>
        </w:rPr>
        <w:t xml:space="preserve"> Interest from fixed deposits,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A4C49">
        <w:rPr>
          <w:rFonts w:cstheme="minorHAnsi"/>
          <w:color w:val="000000"/>
        </w:rPr>
        <w:t>interest</w:t>
      </w:r>
      <w:proofErr w:type="gramEnd"/>
      <w:r w:rsidRPr="00AA4C49">
        <w:rPr>
          <w:rFonts w:cstheme="minorHAnsi"/>
          <w:color w:val="000000"/>
        </w:rPr>
        <w:t xml:space="preserve"> from savings bank account, winnings from lottery etc.</w:t>
      </w:r>
    </w:p>
    <w:p w:rsidR="007E296F" w:rsidRPr="00AA4C49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>Gross Total Income</w:t>
      </w:r>
    </w:p>
    <w:p w:rsidR="007E296F" w:rsidRPr="00AA4C49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In simple words, the sum total of all incomes chargeable to tax is known as gross total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A4C49">
        <w:rPr>
          <w:rFonts w:cstheme="minorHAnsi"/>
          <w:color w:val="000000"/>
        </w:rPr>
        <w:t>income</w:t>
      </w:r>
      <w:proofErr w:type="gramEnd"/>
      <w:r w:rsidRPr="00AA4C49">
        <w:rPr>
          <w:rFonts w:cstheme="minorHAnsi"/>
          <w:color w:val="000000"/>
        </w:rPr>
        <w:t>. So salary + house property income + Interest income = Gross Total Income.</w:t>
      </w:r>
    </w:p>
    <w:p w:rsidR="007E296F" w:rsidRPr="00AA4C49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>Deductions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From gross total income, specified deductions can be made as per the provisions of</w:t>
      </w:r>
      <w:r w:rsidR="007E296F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Income Tax Act to arrive at TOTAL INCOME or TAXABLE INCOME. These deductions</w:t>
      </w:r>
      <w:r w:rsidR="007E296F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are as follows:</w:t>
      </w: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lastRenderedPageBreak/>
        <w:t>Section 80C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It includes the following:</w:t>
      </w:r>
    </w:p>
    <w:p w:rsidR="007E296F" w:rsidRPr="00AA4C49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Life insurance premium paid on own life, life of spouse or any child. Premium</w:t>
      </w:r>
      <w:r w:rsidR="007E296F" w:rsidRP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paid to private insurers is also deductible. Premium paid on life of parents is not</w:t>
      </w:r>
      <w:r w:rsidR="007E296F" w:rsidRP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allowed as deduction.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Contribution to Public Provident Fund </w:t>
      </w:r>
      <w:proofErr w:type="spellStart"/>
      <w:r w:rsidRPr="007E296F">
        <w:rPr>
          <w:rFonts w:cstheme="minorHAnsi"/>
          <w:color w:val="000000"/>
        </w:rPr>
        <w:t>upto</w:t>
      </w:r>
      <w:proofErr w:type="spellEnd"/>
      <w:r w:rsidRPr="007E296F">
        <w:rPr>
          <w:rFonts w:cstheme="minorHAnsi"/>
          <w:color w:val="000000"/>
        </w:rPr>
        <w:t xml:space="preserve"> Rs. 1,50,000 in a financial year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Employee’s contribution to Recognized/ Statutory Provident Fund.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Subscription to National Savings Certificates including accrued interest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Tuition fees paid (does not include donation) to school/ nursery/ college/university</w:t>
      </w:r>
    </w:p>
    <w:p w:rsidR="00373F7C" w:rsidRPr="007E296F" w:rsidRDefault="007E296F" w:rsidP="007E296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proofErr w:type="gramStart"/>
      <w:r w:rsidR="00373F7C" w:rsidRPr="007E296F">
        <w:rPr>
          <w:rFonts w:cstheme="minorHAnsi"/>
          <w:color w:val="000000"/>
        </w:rPr>
        <w:t>in</w:t>
      </w:r>
      <w:proofErr w:type="gramEnd"/>
      <w:r w:rsidR="00373F7C" w:rsidRPr="007E296F">
        <w:rPr>
          <w:rFonts w:cstheme="minorHAnsi"/>
          <w:color w:val="000000"/>
        </w:rPr>
        <w:t xml:space="preserve"> India for full time education of any two children of taxpayer.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Amount deposited under Senior Citizens savings Scheme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Amount deposited in 5 year time deposit in post office.</w:t>
      </w:r>
    </w:p>
    <w:p w:rsidR="00373F7C" w:rsidRPr="007E296F" w:rsidRDefault="00373F7C" w:rsidP="007E2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Principal repayment of loan taken for construction/acquisition of residential</w:t>
      </w:r>
      <w:r w:rsid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 xml:space="preserve">house. Stamp duty, registration fees paid at the time of acquisition are </w:t>
      </w:r>
      <w:proofErr w:type="gramStart"/>
      <w:r w:rsidRPr="007E296F">
        <w:rPr>
          <w:rFonts w:cstheme="minorHAnsi"/>
          <w:color w:val="000000"/>
        </w:rPr>
        <w:t>also</w:t>
      </w:r>
      <w:r w:rsidR="007E296F">
        <w:rPr>
          <w:rFonts w:cstheme="minorHAnsi"/>
          <w:color w:val="000000"/>
        </w:rPr>
        <w:t xml:space="preserve">  </w:t>
      </w:r>
      <w:r w:rsidRPr="007E296F">
        <w:rPr>
          <w:rFonts w:cstheme="minorHAnsi"/>
          <w:color w:val="000000"/>
        </w:rPr>
        <w:t>included</w:t>
      </w:r>
      <w:proofErr w:type="gramEnd"/>
      <w:r w:rsidRPr="007E296F">
        <w:rPr>
          <w:rFonts w:cstheme="minorHAnsi"/>
          <w:color w:val="000000"/>
        </w:rPr>
        <w:t>.</w:t>
      </w:r>
    </w:p>
    <w:p w:rsidR="007E296F" w:rsidRDefault="00373F7C" w:rsidP="0037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Contribution made to participate in </w:t>
      </w:r>
      <w:proofErr w:type="spellStart"/>
      <w:r w:rsidRPr="007E296F">
        <w:rPr>
          <w:rFonts w:cstheme="minorHAnsi"/>
          <w:color w:val="000000"/>
        </w:rPr>
        <w:t>UnitLinked</w:t>
      </w:r>
      <w:proofErr w:type="spellEnd"/>
      <w:r w:rsid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Insurance Plan (ULIP) of LIC o</w:t>
      </w:r>
      <w:r w:rsidR="007E296F">
        <w:rPr>
          <w:rFonts w:cstheme="minorHAnsi"/>
          <w:color w:val="000000"/>
        </w:rPr>
        <w:t xml:space="preserve">r </w:t>
      </w:r>
      <w:r w:rsidRPr="007E296F">
        <w:rPr>
          <w:rFonts w:cstheme="minorHAnsi"/>
          <w:color w:val="000000"/>
        </w:rPr>
        <w:t>UTI</w:t>
      </w:r>
    </w:p>
    <w:p w:rsidR="00373F7C" w:rsidRPr="007E296F" w:rsidRDefault="00373F7C" w:rsidP="0037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>Contribution to notified annuity plan of Life Insurance Corporation of India.</w:t>
      </w: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>The total amount of deduction permissible under Section 80C is Rs. 1</w:t>
      </w:r>
      <w:proofErr w:type="gramStart"/>
      <w:r w:rsidRPr="007E296F">
        <w:rPr>
          <w:rFonts w:cstheme="minorHAnsi"/>
          <w:b/>
          <w:color w:val="FF0000"/>
        </w:rPr>
        <w:t>,50,000</w:t>
      </w:r>
      <w:proofErr w:type="gramEnd"/>
      <w:r w:rsidRPr="007E296F">
        <w:rPr>
          <w:rFonts w:cstheme="minorHAnsi"/>
          <w:b/>
          <w:color w:val="FF0000"/>
        </w:rPr>
        <w:t>.</w:t>
      </w:r>
    </w:p>
    <w:p w:rsidR="007E296F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E296F" w:rsidRPr="00AA4C49" w:rsidRDefault="007E296F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>2. Section 80CCD – Deduction for contribution to National Pension scheme</w:t>
      </w:r>
    </w:p>
    <w:p w:rsidR="00373F7C" w:rsidRPr="007E296F" w:rsidRDefault="00373F7C" w:rsidP="007E2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Contribution by employee </w:t>
      </w:r>
      <w:proofErr w:type="spellStart"/>
      <w:r w:rsidRPr="007E296F">
        <w:rPr>
          <w:rFonts w:cstheme="minorHAnsi"/>
          <w:color w:val="000000"/>
        </w:rPr>
        <w:t>upto</w:t>
      </w:r>
      <w:proofErr w:type="spellEnd"/>
      <w:r w:rsidRPr="007E296F">
        <w:rPr>
          <w:rFonts w:cstheme="minorHAnsi"/>
          <w:color w:val="000000"/>
        </w:rPr>
        <w:t xml:space="preserve"> 10% of his salary is allowed as deduction u/s</w:t>
      </w:r>
      <w:r w:rsidR="007E296F" w:rsidRP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80CCD(1)</w:t>
      </w:r>
    </w:p>
    <w:p w:rsidR="00373F7C" w:rsidRPr="007E296F" w:rsidRDefault="00373F7C" w:rsidP="007E2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Further contribution by employee </w:t>
      </w:r>
      <w:proofErr w:type="spellStart"/>
      <w:r w:rsidRPr="007E296F">
        <w:rPr>
          <w:rFonts w:cstheme="minorHAnsi"/>
          <w:color w:val="000000"/>
        </w:rPr>
        <w:t>upto</w:t>
      </w:r>
      <w:proofErr w:type="spellEnd"/>
      <w:r w:rsidRPr="007E296F">
        <w:rPr>
          <w:rFonts w:cstheme="minorHAnsi"/>
          <w:color w:val="000000"/>
        </w:rPr>
        <w:t xml:space="preserve"> Rs. 50,000 is allowed as deduction u/s</w:t>
      </w:r>
      <w:r w:rsidR="007E296F" w:rsidRPr="007E296F">
        <w:rPr>
          <w:rFonts w:cstheme="minorHAnsi"/>
          <w:color w:val="000000"/>
        </w:rPr>
        <w:t xml:space="preserve"> </w:t>
      </w:r>
      <w:proofErr w:type="gramStart"/>
      <w:r w:rsidRPr="007E296F">
        <w:rPr>
          <w:rFonts w:cstheme="minorHAnsi"/>
          <w:color w:val="000000"/>
        </w:rPr>
        <w:t>80CCD(</w:t>
      </w:r>
      <w:proofErr w:type="gramEnd"/>
      <w:r w:rsidRPr="007E296F">
        <w:rPr>
          <w:rFonts w:cstheme="minorHAnsi"/>
          <w:color w:val="000000"/>
        </w:rPr>
        <w:t>1B), whether or not deduction u/s 80CCD(1) was allowed.</w:t>
      </w:r>
    </w:p>
    <w:p w:rsidR="00373F7C" w:rsidRPr="007E296F" w:rsidRDefault="00373F7C" w:rsidP="007E2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Contribution by employer </w:t>
      </w:r>
      <w:proofErr w:type="spellStart"/>
      <w:r w:rsidRPr="007E296F">
        <w:rPr>
          <w:rFonts w:cstheme="minorHAnsi"/>
          <w:color w:val="000000"/>
        </w:rPr>
        <w:t>upto</w:t>
      </w:r>
      <w:proofErr w:type="spellEnd"/>
      <w:r w:rsidRPr="007E296F">
        <w:rPr>
          <w:rFonts w:cstheme="minorHAnsi"/>
          <w:color w:val="000000"/>
        </w:rPr>
        <w:t xml:space="preserve"> 10% of salary is allowed as deduction u/s</w:t>
      </w:r>
      <w:r w:rsid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80CCD(2)</w:t>
      </w:r>
    </w:p>
    <w:p w:rsidR="00373F7C" w:rsidRDefault="00373F7C" w:rsidP="007E2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296F">
        <w:rPr>
          <w:rFonts w:cstheme="minorHAnsi"/>
          <w:color w:val="000000"/>
        </w:rPr>
        <w:t xml:space="preserve">Deduction u/s </w:t>
      </w:r>
      <w:proofErr w:type="gramStart"/>
      <w:r w:rsidRPr="007E296F">
        <w:rPr>
          <w:rFonts w:cstheme="minorHAnsi"/>
          <w:color w:val="000000"/>
        </w:rPr>
        <w:t>80CCD(</w:t>
      </w:r>
      <w:proofErr w:type="gramEnd"/>
      <w:r w:rsidRPr="007E296F">
        <w:rPr>
          <w:rFonts w:cstheme="minorHAnsi"/>
          <w:color w:val="000000"/>
        </w:rPr>
        <w:t>2) is not included to calculate limit of Rs. 1,50,000 u/s</w:t>
      </w:r>
      <w:r w:rsidR="007E296F">
        <w:rPr>
          <w:rFonts w:cstheme="minorHAnsi"/>
          <w:color w:val="000000"/>
        </w:rPr>
        <w:t xml:space="preserve"> </w:t>
      </w:r>
      <w:r w:rsidRPr="007E296F">
        <w:rPr>
          <w:rFonts w:cstheme="minorHAnsi"/>
          <w:color w:val="000000"/>
        </w:rPr>
        <w:t>80CCE.</w:t>
      </w:r>
    </w:p>
    <w:p w:rsidR="007E296F" w:rsidRPr="007E296F" w:rsidRDefault="007E296F" w:rsidP="007E29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7E296F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E296F">
        <w:rPr>
          <w:rFonts w:cstheme="minorHAnsi"/>
          <w:b/>
          <w:color w:val="FF0000"/>
        </w:rPr>
        <w:t>3. Section 80D – Deduction for health insurance premium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Health insurance premium paid other than by cash by individual for benefit of: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Individual, spouse and dependent children or</w:t>
      </w:r>
      <w:r w:rsidR="007E296F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Parents of individual (whether dependent or not)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Deduction is as follows:</w:t>
      </w:r>
    </w:p>
    <w:p w:rsidR="00373F7C" w:rsidRPr="00341696" w:rsidRDefault="00373F7C" w:rsidP="0034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41696">
        <w:rPr>
          <w:rFonts w:cstheme="minorHAnsi"/>
          <w:color w:val="000000"/>
        </w:rPr>
        <w:t xml:space="preserve">For Individual, spouse and dependent </w:t>
      </w:r>
      <w:proofErr w:type="spellStart"/>
      <w:r w:rsidRPr="00341696">
        <w:rPr>
          <w:rFonts w:cstheme="minorHAnsi"/>
          <w:color w:val="000000"/>
        </w:rPr>
        <w:t>childrenRs</w:t>
      </w:r>
      <w:proofErr w:type="spellEnd"/>
      <w:r w:rsidRPr="00341696">
        <w:rPr>
          <w:rFonts w:cstheme="minorHAnsi"/>
          <w:color w:val="000000"/>
        </w:rPr>
        <w:t>.</w:t>
      </w:r>
      <w:r w:rsidR="007E296F" w:rsidRPr="00341696">
        <w:rPr>
          <w:rFonts w:cstheme="minorHAnsi"/>
          <w:color w:val="000000"/>
        </w:rPr>
        <w:t xml:space="preserve"> </w:t>
      </w:r>
      <w:r w:rsidRPr="00341696">
        <w:rPr>
          <w:rFonts w:cstheme="minorHAnsi"/>
          <w:color w:val="000000"/>
        </w:rPr>
        <w:t>25,000</w:t>
      </w:r>
    </w:p>
    <w:p w:rsidR="00373F7C" w:rsidRPr="00341696" w:rsidRDefault="00373F7C" w:rsidP="0034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41696">
        <w:rPr>
          <w:rFonts w:cstheme="minorHAnsi"/>
          <w:color w:val="000000"/>
        </w:rPr>
        <w:t>For Parents of individual – Rs. 25,000.</w:t>
      </w:r>
    </w:p>
    <w:p w:rsidR="00373F7C" w:rsidRPr="00341696" w:rsidRDefault="00373F7C" w:rsidP="0034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41696">
        <w:rPr>
          <w:rFonts w:cstheme="minorHAnsi"/>
          <w:color w:val="000000"/>
        </w:rPr>
        <w:t>If any person included above is aged 60 years or more and is resident in India, the limit</w:t>
      </w:r>
      <w:r w:rsidR="00341696" w:rsidRPr="00341696">
        <w:rPr>
          <w:rFonts w:cstheme="minorHAnsi"/>
          <w:color w:val="000000"/>
        </w:rPr>
        <w:t xml:space="preserve"> </w:t>
      </w:r>
      <w:r w:rsidRPr="00341696">
        <w:rPr>
          <w:rFonts w:cstheme="minorHAnsi"/>
          <w:color w:val="000000"/>
        </w:rPr>
        <w:t>is Rs.30</w:t>
      </w:r>
      <w:proofErr w:type="gramStart"/>
      <w:r w:rsidRPr="00341696">
        <w:rPr>
          <w:rFonts w:cstheme="minorHAnsi"/>
          <w:color w:val="000000"/>
        </w:rPr>
        <w:t>,000</w:t>
      </w:r>
      <w:proofErr w:type="gramEnd"/>
      <w:r w:rsidRPr="00341696">
        <w:rPr>
          <w:rFonts w:cstheme="minorHAnsi"/>
          <w:color w:val="000000"/>
        </w:rPr>
        <w:t>.</w:t>
      </w:r>
    </w:p>
    <w:p w:rsidR="00373F7C" w:rsidRPr="00341696" w:rsidRDefault="00373F7C" w:rsidP="0034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41696">
        <w:rPr>
          <w:rFonts w:cstheme="minorHAnsi"/>
          <w:color w:val="000000"/>
        </w:rPr>
        <w:t>If person included above is a very senior citizen resident in India, aged above 80 years</w:t>
      </w:r>
    </w:p>
    <w:p w:rsidR="00373F7C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</w:t>
      </w:r>
      <w:proofErr w:type="gramStart"/>
      <w:r w:rsidR="00373F7C" w:rsidRPr="00AA4C49">
        <w:rPr>
          <w:rFonts w:cstheme="minorHAnsi"/>
          <w:color w:val="000000"/>
        </w:rPr>
        <w:t>who</w:t>
      </w:r>
      <w:proofErr w:type="gramEnd"/>
      <w:r w:rsidR="00373F7C" w:rsidRPr="00AA4C49">
        <w:rPr>
          <w:rFonts w:cstheme="minorHAnsi"/>
          <w:color w:val="000000"/>
        </w:rPr>
        <w:t xml:space="preserve"> is unable to get insurance cover, deduction of the actual medical expenditure</w:t>
      </w:r>
    </w:p>
    <w:p w:rsidR="00373F7C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</w:t>
      </w:r>
      <w:proofErr w:type="gramStart"/>
      <w:r w:rsidR="00373F7C" w:rsidRPr="00AA4C49">
        <w:rPr>
          <w:rFonts w:cstheme="minorHAnsi"/>
          <w:color w:val="000000"/>
        </w:rPr>
        <w:t>incurred</w:t>
      </w:r>
      <w:proofErr w:type="gramEnd"/>
      <w:r w:rsidR="00373F7C" w:rsidRPr="00AA4C49">
        <w:rPr>
          <w:rFonts w:cstheme="minorHAnsi"/>
          <w:color w:val="000000"/>
        </w:rPr>
        <w:t xml:space="preserve"> is allowed </w:t>
      </w:r>
      <w:proofErr w:type="spellStart"/>
      <w:r w:rsidR="00373F7C" w:rsidRPr="00AA4C49">
        <w:rPr>
          <w:rFonts w:cstheme="minorHAnsi"/>
          <w:color w:val="000000"/>
        </w:rPr>
        <w:t>upto</w:t>
      </w:r>
      <w:proofErr w:type="spellEnd"/>
      <w:r w:rsidR="00373F7C" w:rsidRPr="00AA4C49">
        <w:rPr>
          <w:rFonts w:cstheme="minorHAnsi"/>
          <w:color w:val="000000"/>
        </w:rPr>
        <w:t xml:space="preserve"> Rs. 30,000.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Section 80D also covers payment for preventive health check up. Such payment can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be made in cash or otherwise. It shall not exceed Rs.5</w:t>
      </w:r>
      <w:proofErr w:type="gramStart"/>
      <w:r w:rsidRPr="00AA4C49">
        <w:rPr>
          <w:rFonts w:cstheme="minorHAnsi"/>
          <w:color w:val="000000"/>
        </w:rPr>
        <w:t>,000</w:t>
      </w:r>
      <w:proofErr w:type="gramEnd"/>
      <w:r w:rsidRPr="00AA4C49">
        <w:rPr>
          <w:rFonts w:cstheme="minorHAnsi"/>
          <w:color w:val="000000"/>
        </w:rPr>
        <w:t>. It is included in overall limit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of Rs.25</w:t>
      </w:r>
      <w:proofErr w:type="gramStart"/>
      <w:r w:rsidRPr="00AA4C49">
        <w:rPr>
          <w:rFonts w:cstheme="minorHAnsi"/>
          <w:color w:val="000000"/>
        </w:rPr>
        <w:t>,000</w:t>
      </w:r>
      <w:proofErr w:type="gramEnd"/>
      <w:r w:rsidRPr="00AA4C49">
        <w:rPr>
          <w:rFonts w:cstheme="minorHAnsi"/>
          <w:color w:val="000000"/>
        </w:rPr>
        <w:t xml:space="preserve"> / Rs. 30,000.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41696">
        <w:rPr>
          <w:rFonts w:cstheme="minorHAnsi"/>
          <w:b/>
          <w:color w:val="FF0000"/>
        </w:rPr>
        <w:t>4. Section 80DDMedical</w:t>
      </w:r>
      <w:r w:rsidR="00341696" w:rsidRPr="00341696">
        <w:rPr>
          <w:rFonts w:cstheme="minorHAnsi"/>
          <w:b/>
          <w:color w:val="FF0000"/>
        </w:rPr>
        <w:t xml:space="preserve"> </w:t>
      </w:r>
      <w:r w:rsidRPr="00341696">
        <w:rPr>
          <w:rFonts w:cstheme="minorHAnsi"/>
          <w:b/>
          <w:color w:val="FF0000"/>
        </w:rPr>
        <w:t>treatment expense of person with disability</w:t>
      </w:r>
    </w:p>
    <w:p w:rsidR="00341696" w:rsidRPr="00341696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If individual incurs any expenditure for the medical treatment of a dependant, being a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person with disability he shall be allowed deduction of Rs.75</w:t>
      </w:r>
      <w:proofErr w:type="gramStart"/>
      <w:r w:rsidRPr="00AA4C49">
        <w:rPr>
          <w:rFonts w:cstheme="minorHAnsi"/>
          <w:color w:val="000000"/>
        </w:rPr>
        <w:t>,000</w:t>
      </w:r>
      <w:proofErr w:type="gramEnd"/>
      <w:r w:rsidRPr="00AA4C49">
        <w:rPr>
          <w:rFonts w:cstheme="minorHAnsi"/>
          <w:color w:val="000000"/>
        </w:rPr>
        <w:t>. If such dependant is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 person with severe disability (80% or more), deduction shall be Rs.1</w:t>
      </w:r>
      <w:proofErr w:type="gramStart"/>
      <w:r w:rsidRPr="00AA4C49">
        <w:rPr>
          <w:rFonts w:cstheme="minorHAnsi"/>
          <w:color w:val="000000"/>
        </w:rPr>
        <w:t>,25,000</w:t>
      </w:r>
      <w:proofErr w:type="gramEnd"/>
      <w:r w:rsidRPr="00AA4C49">
        <w:rPr>
          <w:rFonts w:cstheme="minorHAnsi"/>
          <w:color w:val="000000"/>
        </w:rPr>
        <w:t>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Disability includes autism, cerebral palsy and multiple disabilities as defined in National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Trust for Welfare of Persons with Autism, Cerebral Palsy, Mental Retardation and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Multiple Disabilities Act, 1999.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lastRenderedPageBreak/>
        <w:t>Dependant in case of an individual means spouse, children, parents, brothers and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sisters of such individual and who is wholly or mainly dependant on such individual for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support and maintenance and who claims no deduction under Section 80U.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41696">
        <w:rPr>
          <w:rFonts w:cstheme="minorHAnsi"/>
          <w:b/>
          <w:color w:val="FF0000"/>
        </w:rPr>
        <w:t>5. Section 80E – Interest on loan for higher studies</w:t>
      </w:r>
    </w:p>
    <w:p w:rsidR="00341696" w:rsidRPr="00341696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 xml:space="preserve">Interest on loan taken by </w:t>
      </w:r>
      <w:proofErr w:type="spellStart"/>
      <w:r w:rsidRPr="00AA4C49">
        <w:rPr>
          <w:rFonts w:cstheme="minorHAnsi"/>
          <w:color w:val="000000"/>
        </w:rPr>
        <w:t>assessee</w:t>
      </w:r>
      <w:proofErr w:type="spellEnd"/>
      <w:r w:rsidRPr="00AA4C49">
        <w:rPr>
          <w:rFonts w:cstheme="minorHAnsi"/>
          <w:color w:val="000000"/>
        </w:rPr>
        <w:t xml:space="preserve"> from any financial institution or any approved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charitable institution for the purpose of pursuing his or his relative’s higher education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is deductible. Relative means spouse and children of individual or student for whom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the individual is the legal guardian. Deduction is for interest PAID during the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assessment year and 7 succeeding assessment years or such shorter period within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which individual repays interest in full.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Higher education means any course of study pursued after passing the Senior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Secondary Examination or its equivalent from any school, board or university</w:t>
      </w:r>
      <w:r w:rsidR="00341696">
        <w:rPr>
          <w:rFonts w:cstheme="minorHAnsi"/>
          <w:color w:val="000000"/>
        </w:rPr>
        <w:t xml:space="preserve"> </w:t>
      </w:r>
      <w:proofErr w:type="spellStart"/>
      <w:r w:rsidRPr="00AA4C49">
        <w:rPr>
          <w:rFonts w:cstheme="minorHAnsi"/>
          <w:color w:val="000000"/>
        </w:rPr>
        <w:t>recognised</w:t>
      </w:r>
      <w:proofErr w:type="spellEnd"/>
      <w:r w:rsidRPr="00AA4C49">
        <w:rPr>
          <w:rFonts w:cstheme="minorHAnsi"/>
          <w:color w:val="000000"/>
        </w:rPr>
        <w:t xml:space="preserve"> by the Central / State Government or local authority.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341696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41696">
        <w:rPr>
          <w:rFonts w:cstheme="minorHAnsi"/>
          <w:b/>
          <w:color w:val="FF0000"/>
        </w:rPr>
        <w:t>6. Section 80TTA – Interest on savings account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Interest received from deposit in savings account with a bank or a post office up to a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maximum of Rs. 10,000 is deductible. But such interest income should first be included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in Gross Total Income.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341696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41696">
        <w:rPr>
          <w:rFonts w:cstheme="minorHAnsi"/>
          <w:b/>
          <w:color w:val="FF0000"/>
        </w:rPr>
        <w:t>Income Tax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41696">
        <w:rPr>
          <w:rFonts w:cstheme="minorHAnsi"/>
          <w:b/>
          <w:color w:val="FF0000"/>
        </w:rPr>
        <w:t>Slab rates for individuals for Assessment Year 2016</w:t>
      </w:r>
      <w:r w:rsidR="00341696" w:rsidRPr="00341696">
        <w:rPr>
          <w:rFonts w:cstheme="minorHAnsi"/>
          <w:b/>
          <w:color w:val="FF0000"/>
        </w:rPr>
        <w:t>-</w:t>
      </w:r>
      <w:r w:rsidRPr="00341696">
        <w:rPr>
          <w:rFonts w:cstheme="minorHAnsi"/>
          <w:b/>
          <w:color w:val="FF0000"/>
        </w:rPr>
        <w:t>17</w:t>
      </w:r>
    </w:p>
    <w:tbl>
      <w:tblPr>
        <w:tblStyle w:val="TableGrid"/>
        <w:tblW w:w="5000" w:type="pct"/>
        <w:tblLook w:val="04A0"/>
      </w:tblPr>
      <w:tblGrid>
        <w:gridCol w:w="1727"/>
        <w:gridCol w:w="4658"/>
        <w:gridCol w:w="3191"/>
      </w:tblGrid>
      <w:tr w:rsidR="00341696" w:rsidTr="001860D6">
        <w:tc>
          <w:tcPr>
            <w:tcW w:w="902" w:type="pct"/>
          </w:tcPr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proofErr w:type="spellStart"/>
            <w:r w:rsidRPr="00AA4C49">
              <w:rPr>
                <w:rFonts w:cstheme="minorHAnsi"/>
                <w:color w:val="000000"/>
              </w:rPr>
              <w:t>Sl</w:t>
            </w:r>
            <w:proofErr w:type="spellEnd"/>
            <w:r w:rsidRPr="00AA4C49">
              <w:rPr>
                <w:rFonts w:cstheme="minorHAnsi"/>
                <w:color w:val="000000"/>
              </w:rPr>
              <w:t xml:space="preserve"> No</w:t>
            </w:r>
          </w:p>
        </w:tc>
        <w:tc>
          <w:tcPr>
            <w:tcW w:w="2432" w:type="pct"/>
          </w:tcPr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AA4C49">
              <w:rPr>
                <w:rFonts w:cstheme="minorHAnsi"/>
                <w:color w:val="000000"/>
              </w:rPr>
              <w:t>Particulars</w:t>
            </w:r>
          </w:p>
        </w:tc>
        <w:tc>
          <w:tcPr>
            <w:tcW w:w="1666" w:type="pct"/>
          </w:tcPr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AA4C49">
              <w:rPr>
                <w:rFonts w:cstheme="minorHAnsi"/>
                <w:color w:val="000000"/>
              </w:rPr>
              <w:t>Particulars</w:t>
            </w:r>
          </w:p>
        </w:tc>
      </w:tr>
      <w:tr w:rsidR="00341696" w:rsidTr="001860D6">
        <w:tc>
          <w:tcPr>
            <w:tcW w:w="902" w:type="pct"/>
          </w:tcPr>
          <w:p w:rsidR="00341696" w:rsidRP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1696">
              <w:rPr>
                <w:rFonts w:cstheme="minorHAnsi"/>
              </w:rPr>
              <w:t>1</w:t>
            </w:r>
          </w:p>
        </w:tc>
        <w:tc>
          <w:tcPr>
            <w:tcW w:w="2432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Where the taxable income does</w:t>
            </w:r>
          </w:p>
          <w:p w:rsidR="00341696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AA4C49">
              <w:rPr>
                <w:rFonts w:cstheme="minorHAnsi"/>
                <w:color w:val="000000"/>
              </w:rPr>
              <w:t xml:space="preserve"> not exceed Rs. 2,50,000</w:t>
            </w:r>
          </w:p>
        </w:tc>
        <w:tc>
          <w:tcPr>
            <w:tcW w:w="1666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NIL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</w:tr>
      <w:tr w:rsidR="00341696" w:rsidTr="001860D6">
        <w:tc>
          <w:tcPr>
            <w:tcW w:w="902" w:type="pct"/>
          </w:tcPr>
          <w:p w:rsidR="00341696" w:rsidRP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1696">
              <w:rPr>
                <w:rFonts w:cstheme="minorHAnsi"/>
              </w:rPr>
              <w:t>2</w:t>
            </w:r>
          </w:p>
        </w:tc>
        <w:tc>
          <w:tcPr>
            <w:tcW w:w="2432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Where the taxable </w:t>
            </w:r>
            <w:proofErr w:type="spellStart"/>
            <w:r w:rsidRPr="00AA4C49">
              <w:rPr>
                <w:rFonts w:cstheme="minorHAnsi"/>
                <w:color w:val="000000"/>
              </w:rPr>
              <w:t>incomeexc</w:t>
            </w:r>
            <w:r w:rsidR="001860D6">
              <w:rPr>
                <w:rFonts w:cstheme="minorHAnsi"/>
                <w:color w:val="000000"/>
              </w:rPr>
              <w:t>eeds</w:t>
            </w:r>
            <w:proofErr w:type="spellEnd"/>
            <w:r w:rsidR="001860D6">
              <w:rPr>
                <w:rFonts w:cstheme="minorHAnsi"/>
                <w:color w:val="000000"/>
              </w:rPr>
              <w:t xml:space="preserve"> Rs.</w:t>
            </w:r>
            <w:r w:rsidRPr="00AA4C49">
              <w:rPr>
                <w:rFonts w:cstheme="minorHAnsi"/>
                <w:color w:val="000000"/>
              </w:rPr>
              <w:t>2,50,000/but</w:t>
            </w:r>
            <w:r w:rsidR="001860D6">
              <w:rPr>
                <w:rFonts w:cstheme="minorHAnsi"/>
                <w:color w:val="000000"/>
              </w:rPr>
              <w:t xml:space="preserve"> </w:t>
            </w:r>
            <w:r w:rsidRPr="00AA4C49">
              <w:rPr>
                <w:rFonts w:cstheme="minorHAnsi"/>
                <w:color w:val="000000"/>
              </w:rPr>
              <w:t>does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AA4C49">
              <w:rPr>
                <w:rFonts w:cstheme="minorHAnsi"/>
                <w:color w:val="000000"/>
              </w:rPr>
              <w:t>not</w:t>
            </w:r>
            <w:proofErr w:type="gramEnd"/>
            <w:r w:rsidRPr="00AA4C49">
              <w:rPr>
                <w:rFonts w:cstheme="minorHAnsi"/>
                <w:color w:val="000000"/>
              </w:rPr>
              <w:t xml:space="preserve"> exceed Rs. 5,00,000.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66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10% of amount by which the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AA4C49">
              <w:rPr>
                <w:rFonts w:cstheme="minorHAnsi"/>
                <w:color w:val="000000"/>
              </w:rPr>
              <w:t>taxable</w:t>
            </w:r>
            <w:proofErr w:type="gramEnd"/>
            <w:r w:rsidRPr="00AA4C49">
              <w:rPr>
                <w:rFonts w:cstheme="minorHAnsi"/>
                <w:color w:val="000000"/>
              </w:rPr>
              <w:t xml:space="preserve"> income exceeds Rs.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2,50,000.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</w:tr>
      <w:tr w:rsidR="00341696" w:rsidTr="001860D6">
        <w:tc>
          <w:tcPr>
            <w:tcW w:w="902" w:type="pct"/>
          </w:tcPr>
          <w:p w:rsidR="00341696" w:rsidRP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1696">
              <w:rPr>
                <w:rFonts w:cstheme="minorHAnsi"/>
              </w:rPr>
              <w:t>3</w:t>
            </w:r>
          </w:p>
        </w:tc>
        <w:tc>
          <w:tcPr>
            <w:tcW w:w="2432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Where the taxable income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exceeds Rs. 5,00,000 but does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AA4C49">
              <w:rPr>
                <w:rFonts w:cstheme="minorHAnsi"/>
                <w:color w:val="000000"/>
              </w:rPr>
              <w:t>not</w:t>
            </w:r>
            <w:proofErr w:type="gramEnd"/>
            <w:r w:rsidRPr="00AA4C49">
              <w:rPr>
                <w:rFonts w:cstheme="minorHAnsi"/>
                <w:color w:val="000000"/>
              </w:rPr>
              <w:t xml:space="preserve"> exceed Rs. 10,00,000.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66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Rs. 25,000 + 20% of the amount by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which the taxable income exceeds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Rs. 5</w:t>
            </w:r>
            <w:proofErr w:type="gramStart"/>
            <w:r w:rsidRPr="00AA4C49">
              <w:rPr>
                <w:rFonts w:cstheme="minorHAnsi"/>
                <w:color w:val="000000"/>
              </w:rPr>
              <w:t>,00,000</w:t>
            </w:r>
            <w:proofErr w:type="gramEnd"/>
            <w:r w:rsidRPr="00AA4C49">
              <w:rPr>
                <w:rFonts w:cstheme="minorHAnsi"/>
                <w:color w:val="000000"/>
              </w:rPr>
              <w:t>/.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</w:tr>
      <w:tr w:rsidR="00341696" w:rsidTr="001860D6">
        <w:tc>
          <w:tcPr>
            <w:tcW w:w="902" w:type="pct"/>
          </w:tcPr>
          <w:p w:rsidR="00341696" w:rsidRP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1696">
              <w:rPr>
                <w:rFonts w:cstheme="minorHAnsi"/>
              </w:rPr>
              <w:t>4</w:t>
            </w:r>
          </w:p>
        </w:tc>
        <w:tc>
          <w:tcPr>
            <w:tcW w:w="2432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Where the taxable income</w:t>
            </w:r>
          </w:p>
          <w:p w:rsidR="00341696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AA4C49">
              <w:rPr>
                <w:rFonts w:cstheme="minorHAnsi"/>
                <w:color w:val="000000"/>
              </w:rPr>
              <w:t>exceeds Rs. 10,00,000</w:t>
            </w:r>
          </w:p>
        </w:tc>
        <w:tc>
          <w:tcPr>
            <w:tcW w:w="1666" w:type="pct"/>
          </w:tcPr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Rs. 125,000+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30% of the amount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by which the taxable income</w:t>
            </w:r>
          </w:p>
          <w:p w:rsidR="00341696" w:rsidRPr="00AA4C49" w:rsidRDefault="00341696" w:rsidP="003416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AA4C49">
              <w:rPr>
                <w:rFonts w:cstheme="minorHAnsi"/>
                <w:color w:val="000000"/>
              </w:rPr>
              <w:t>exceeds</w:t>
            </w:r>
            <w:proofErr w:type="gramEnd"/>
            <w:r w:rsidRPr="00AA4C49">
              <w:rPr>
                <w:rFonts w:cstheme="minorHAnsi"/>
                <w:color w:val="000000"/>
              </w:rPr>
              <w:t xml:space="preserve"> Rs. 10,00,000.</w:t>
            </w:r>
          </w:p>
          <w:p w:rsidR="00341696" w:rsidRDefault="00341696" w:rsidP="00373F7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</w:tr>
    </w:tbl>
    <w:p w:rsidR="00341696" w:rsidRPr="00341696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Resident individuals whose total income is less than Rs. 5</w:t>
      </w:r>
      <w:proofErr w:type="gramStart"/>
      <w:r w:rsidRPr="00AA4C49">
        <w:rPr>
          <w:rFonts w:cstheme="minorHAnsi"/>
          <w:color w:val="000000"/>
        </w:rPr>
        <w:t>,00,000</w:t>
      </w:r>
      <w:proofErr w:type="gramEnd"/>
      <w:r w:rsidRPr="00AA4C49">
        <w:rPr>
          <w:rFonts w:cstheme="minorHAnsi"/>
          <w:color w:val="000000"/>
        </w:rPr>
        <w:t>, are eligible for a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rebate as per Section 87A of Income Tax Act. Rebate is 100% of tax or Rs. 2000,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whichever is lower.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AA4C49">
        <w:rPr>
          <w:rFonts w:cstheme="minorHAnsi"/>
          <w:color w:val="000000"/>
        </w:rPr>
        <w:t>Eg</w:t>
      </w:r>
      <w:proofErr w:type="spellEnd"/>
      <w:r w:rsidRPr="00AA4C49">
        <w:rPr>
          <w:rFonts w:cstheme="minorHAnsi"/>
          <w:color w:val="000000"/>
        </w:rPr>
        <w:t>.</w:t>
      </w:r>
      <w:proofErr w:type="gramEnd"/>
      <w:r w:rsidRPr="00AA4C49">
        <w:rPr>
          <w:rFonts w:cstheme="minorHAnsi"/>
          <w:color w:val="000000"/>
        </w:rPr>
        <w:t xml:space="preserve"> Total income of Mr. X is Rs. 4</w:t>
      </w:r>
      <w:proofErr w:type="gramStart"/>
      <w:r w:rsidRPr="00AA4C49">
        <w:rPr>
          <w:rFonts w:cstheme="minorHAnsi"/>
          <w:color w:val="000000"/>
        </w:rPr>
        <w:t>,20,000</w:t>
      </w:r>
      <w:proofErr w:type="gramEnd"/>
      <w:r w:rsidRPr="00AA4C49">
        <w:rPr>
          <w:rFonts w:cstheme="minorHAnsi"/>
          <w:color w:val="000000"/>
        </w:rPr>
        <w:t>. Tax liability as per the slab rates given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above is Rs. 17,000. From this, lower of Rs. 17,000 (</w:t>
      </w:r>
      <w:proofErr w:type="spellStart"/>
      <w:r w:rsidRPr="00AA4C49">
        <w:rPr>
          <w:rFonts w:cstheme="minorHAnsi"/>
          <w:color w:val="000000"/>
        </w:rPr>
        <w:t>ie</w:t>
      </w:r>
      <w:proofErr w:type="spellEnd"/>
      <w:r w:rsidRPr="00AA4C49">
        <w:rPr>
          <w:rFonts w:cstheme="minorHAnsi"/>
          <w:color w:val="000000"/>
        </w:rPr>
        <w:t xml:space="preserve"> 100% of tax) or Rs. 2,000 can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be reduced. Hence Rs. 2,000 is reduced. So tax payable is Rs. 15,000. On this</w:t>
      </w:r>
      <w:r w:rsidR="00341696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 xml:space="preserve">amount of Rs. 15,000 education </w:t>
      </w:r>
      <w:proofErr w:type="spellStart"/>
      <w:r w:rsidRPr="00AA4C49">
        <w:rPr>
          <w:rFonts w:cstheme="minorHAnsi"/>
          <w:color w:val="000000"/>
        </w:rPr>
        <w:t>cess</w:t>
      </w:r>
      <w:proofErr w:type="spellEnd"/>
      <w:r w:rsidRPr="00AA4C49">
        <w:rPr>
          <w:rFonts w:cstheme="minorHAnsi"/>
          <w:color w:val="000000"/>
        </w:rPr>
        <w:t xml:space="preserve"> of 3% is calculated.</w:t>
      </w:r>
    </w:p>
    <w:p w:rsidR="00341696" w:rsidRPr="00AA4C49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41696">
        <w:rPr>
          <w:rFonts w:cstheme="minorHAnsi"/>
          <w:b/>
          <w:color w:val="C00000"/>
        </w:rPr>
        <w:t>Tax deduction at source</w:t>
      </w:r>
    </w:p>
    <w:p w:rsidR="00341696" w:rsidRPr="00341696" w:rsidRDefault="0034169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The employer responsible for paying salary shall deduct tax at source on the</w:t>
      </w:r>
      <w:r w:rsidR="00341696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amount payable.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Where employee who receives salary has any income chargeable under any</w:t>
      </w:r>
      <w:r w:rsidR="00341696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other head of income (not being a loss under any such head other than the loss</w:t>
      </w:r>
      <w:r w:rsidR="00341696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under the head "Income from house property") for the same financial year, he</w:t>
      </w:r>
      <w:r w:rsidR="00341696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may send to the employer the particulars of—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860D6">
        <w:rPr>
          <w:rFonts w:cstheme="minorHAnsi"/>
          <w:color w:val="000000"/>
        </w:rPr>
        <w:t>such</w:t>
      </w:r>
      <w:proofErr w:type="gramEnd"/>
      <w:r w:rsidRPr="001860D6">
        <w:rPr>
          <w:rFonts w:cstheme="minorHAnsi"/>
          <w:color w:val="000000"/>
        </w:rPr>
        <w:t xml:space="preserve"> other income and of any tax deducted thereon ;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the loss, if any, under the head "Income from house property",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860D6">
        <w:rPr>
          <w:rFonts w:cstheme="minorHAnsi"/>
          <w:color w:val="000000"/>
        </w:rPr>
        <w:t>and</w:t>
      </w:r>
      <w:proofErr w:type="gramEnd"/>
      <w:r w:rsidRPr="001860D6">
        <w:rPr>
          <w:rFonts w:cstheme="minorHAnsi"/>
          <w:color w:val="000000"/>
        </w:rPr>
        <w:t xml:space="preserve"> thereupon the employer shall take into account those details.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 xml:space="preserve">The employer shall, for the purposes of estimating income of the </w:t>
      </w:r>
      <w:proofErr w:type="spellStart"/>
      <w:r w:rsidRPr="001860D6">
        <w:rPr>
          <w:rFonts w:cstheme="minorHAnsi"/>
          <w:color w:val="000000"/>
        </w:rPr>
        <w:t>assessee</w:t>
      </w:r>
      <w:proofErr w:type="spellEnd"/>
      <w:r w:rsidRPr="001860D6">
        <w:rPr>
          <w:rFonts w:cstheme="minorHAnsi"/>
          <w:color w:val="000000"/>
        </w:rPr>
        <w:t xml:space="preserve"> or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 xml:space="preserve">computing tax deductible, obtain from the </w:t>
      </w:r>
      <w:proofErr w:type="spellStart"/>
      <w:r w:rsidRPr="001860D6">
        <w:rPr>
          <w:rFonts w:cstheme="minorHAnsi"/>
          <w:color w:val="000000"/>
        </w:rPr>
        <w:t>assessee</w:t>
      </w:r>
      <w:proofErr w:type="spellEnd"/>
      <w:r w:rsidRPr="001860D6">
        <w:rPr>
          <w:rFonts w:cstheme="minorHAnsi"/>
          <w:color w:val="000000"/>
        </w:rPr>
        <w:t xml:space="preserve"> the proof or particulars of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prescribed claims (including claim for setoff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of loss) under the provisions of the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Act in such form and manner as may be prescribed.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Where the employee is entitled to the relief under section 89 due to receipt of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arrears of salary, he may furnish to the employer, such particulars, as may be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prescribed, and the employer shall then compute the relief on the basis of such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particulars and take it into account in making the deduction of tax. The employee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shall submit in Form No. 10E the details of relief claimed to the Income Tax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Department.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The employer may, at the time of making any tax deduction, increase or reduce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the amount to be deducted for the purpose of adjusting any excess or deficiency</w:t>
      </w:r>
      <w:r w:rsidR="0005055E" w:rsidRP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arising out of any previous deduction or failure to deduct during the financial year.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It is essential to review total income and TDS of each employee especially when</w:t>
      </w:r>
    </w:p>
    <w:p w:rsidR="00373F7C" w:rsidRPr="001860D6" w:rsidRDefault="001860D6" w:rsidP="001860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</w:t>
      </w:r>
      <w:proofErr w:type="gramStart"/>
      <w:r w:rsidR="00373F7C" w:rsidRPr="001860D6">
        <w:rPr>
          <w:rFonts w:cstheme="minorHAnsi"/>
          <w:color w:val="000000"/>
        </w:rPr>
        <w:t>there</w:t>
      </w:r>
      <w:proofErr w:type="gramEnd"/>
      <w:r w:rsidR="00373F7C" w:rsidRPr="001860D6">
        <w:rPr>
          <w:rFonts w:cstheme="minorHAnsi"/>
          <w:color w:val="000000"/>
        </w:rPr>
        <w:t xml:space="preserve"> is any increase in their salary by way of arrears of salary, dearness</w:t>
      </w:r>
      <w:r>
        <w:rPr>
          <w:rFonts w:cstheme="minorHAnsi"/>
          <w:color w:val="000000"/>
        </w:rPr>
        <w:t xml:space="preserve"> </w:t>
      </w:r>
      <w:r w:rsidR="00373F7C" w:rsidRPr="001860D6">
        <w:rPr>
          <w:rFonts w:cstheme="minorHAnsi"/>
          <w:color w:val="000000"/>
        </w:rPr>
        <w:t xml:space="preserve">allowance, increments </w:t>
      </w:r>
      <w:r>
        <w:rPr>
          <w:rFonts w:cstheme="minorHAnsi"/>
          <w:color w:val="000000"/>
        </w:rPr>
        <w:t xml:space="preserve">        </w:t>
      </w:r>
      <w:r w:rsidR="00373F7C" w:rsidRPr="001860D6">
        <w:rPr>
          <w:rFonts w:cstheme="minorHAnsi"/>
          <w:color w:val="000000"/>
        </w:rPr>
        <w:t>etc.</w:t>
      </w:r>
    </w:p>
    <w:p w:rsidR="00373F7C" w:rsidRPr="001860D6" w:rsidRDefault="00373F7C" w:rsidP="001860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60D6">
        <w:rPr>
          <w:rFonts w:cstheme="minorHAnsi"/>
          <w:color w:val="000000"/>
        </w:rPr>
        <w:t>TDS certificate shall be given to the employee in Form No. 16 annually on or</w:t>
      </w:r>
      <w:r w:rsidR="001860D6">
        <w:rPr>
          <w:rFonts w:cstheme="minorHAnsi"/>
          <w:color w:val="000000"/>
        </w:rPr>
        <w:t xml:space="preserve"> </w:t>
      </w:r>
      <w:r w:rsidRPr="001860D6">
        <w:rPr>
          <w:rFonts w:cstheme="minorHAnsi"/>
          <w:color w:val="000000"/>
        </w:rPr>
        <w:t>before 31st May of the next year.</w:t>
      </w:r>
    </w:p>
    <w:p w:rsidR="0005055E" w:rsidRPr="00AA4C49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05055E">
        <w:rPr>
          <w:rFonts w:cstheme="minorHAnsi"/>
          <w:b/>
          <w:color w:val="C00000"/>
        </w:rPr>
        <w:t>How monthly TDS is worked out:</w:t>
      </w:r>
    </w:p>
    <w:p w:rsidR="0005055E" w:rsidRPr="0005055E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At the beginning of the financial year, employer can calculate monthly TDS of an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A4C49">
        <w:rPr>
          <w:rFonts w:cstheme="minorHAnsi"/>
          <w:color w:val="000000"/>
        </w:rPr>
        <w:t>employee</w:t>
      </w:r>
      <w:proofErr w:type="gramEnd"/>
      <w:r w:rsidRPr="00AA4C49">
        <w:rPr>
          <w:rFonts w:cstheme="minorHAnsi"/>
          <w:color w:val="000000"/>
        </w:rPr>
        <w:t xml:space="preserve"> by following the steps given below.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1. Estimate salary income for the year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2. Add other income, if any, declared by employee. (In case of loss, only house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A4C49">
        <w:rPr>
          <w:rFonts w:cstheme="minorHAnsi"/>
          <w:color w:val="000000"/>
        </w:rPr>
        <w:t>property</w:t>
      </w:r>
      <w:proofErr w:type="gramEnd"/>
      <w:r w:rsidRPr="00AA4C49">
        <w:rPr>
          <w:rFonts w:cstheme="minorHAnsi"/>
          <w:color w:val="000000"/>
        </w:rPr>
        <w:t xml:space="preserve"> loss is considered).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3. Find total of 1 and 2 above to arrive at Gross Total Income (GTI).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4. Less: Deductions u/s 80C to 80U.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5. Find 3 minus 4 to arrive at Total Income (TI).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6. Find tax on TI using slab rates applicable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7. Less: Rebate u/s 87A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8. Find 6 minus 7.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 xml:space="preserve">9. Add: Education </w:t>
      </w:r>
      <w:proofErr w:type="spellStart"/>
      <w:r w:rsidRPr="00AA4C49">
        <w:rPr>
          <w:rFonts w:cstheme="minorHAnsi"/>
          <w:color w:val="000000"/>
        </w:rPr>
        <w:t>cess</w:t>
      </w:r>
      <w:proofErr w:type="spellEnd"/>
      <w:r w:rsidRPr="00AA4C49">
        <w:rPr>
          <w:rFonts w:cstheme="minorHAnsi"/>
          <w:color w:val="000000"/>
        </w:rPr>
        <w:t xml:space="preserve"> at 3% of 8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10. Less: Tax deducted by others as per information given by employee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11. Find out tax liability [</w:t>
      </w:r>
      <w:proofErr w:type="spellStart"/>
      <w:r w:rsidRPr="00AA4C49">
        <w:rPr>
          <w:rFonts w:cstheme="minorHAnsi"/>
          <w:color w:val="000000"/>
        </w:rPr>
        <w:t>ie</w:t>
      </w:r>
      <w:proofErr w:type="spellEnd"/>
      <w:r w:rsidRPr="00AA4C49">
        <w:rPr>
          <w:rFonts w:cstheme="minorHAnsi"/>
          <w:color w:val="000000"/>
        </w:rPr>
        <w:t xml:space="preserve"> 8+910]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The tax deductible at source from salary is determined in Step 11. This amount is</w:t>
      </w:r>
      <w:r w:rsidR="0005055E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 xml:space="preserve">deducted in 12 monthly </w:t>
      </w:r>
      <w:proofErr w:type="spellStart"/>
      <w:r w:rsidRPr="00AA4C49">
        <w:rPr>
          <w:rFonts w:cstheme="minorHAnsi"/>
          <w:color w:val="000000"/>
        </w:rPr>
        <w:t>instalments</w:t>
      </w:r>
      <w:proofErr w:type="spellEnd"/>
      <w:r w:rsidRPr="00AA4C49">
        <w:rPr>
          <w:rFonts w:cstheme="minorHAnsi"/>
          <w:color w:val="000000"/>
        </w:rPr>
        <w:t>.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Note: If Total Income arrived at in Step 5 is below basic exemption limit, no taxability</w:t>
      </w:r>
      <w:r w:rsidR="0005055E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shall arise and consequently provisions of tax deduction at source shall not apply.</w:t>
      </w:r>
    </w:p>
    <w:p w:rsidR="0005055E" w:rsidRPr="00AA4C49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Pr="0005055E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05055E">
        <w:rPr>
          <w:rFonts w:cstheme="minorHAnsi"/>
          <w:b/>
          <w:color w:val="C00000"/>
        </w:rPr>
        <w:t>Filing of TDS Returns</w:t>
      </w:r>
    </w:p>
    <w:p w:rsidR="00373F7C" w:rsidRPr="00AA4C49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Quarterly statement of tax deduction shall be submitted in Form NO. 24Q by employer</w:t>
      </w: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A4C49">
        <w:rPr>
          <w:rFonts w:cstheme="minorHAnsi"/>
          <w:color w:val="000000"/>
        </w:rPr>
        <w:t>within</w:t>
      </w:r>
      <w:proofErr w:type="gramEnd"/>
      <w:r w:rsidRPr="00AA4C49">
        <w:rPr>
          <w:rFonts w:cstheme="minorHAnsi"/>
          <w:color w:val="000000"/>
        </w:rPr>
        <w:t xml:space="preserve"> the time limit given below:</w:t>
      </w:r>
    </w:p>
    <w:p w:rsidR="001860D6" w:rsidRDefault="001860D6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475"/>
        <w:gridCol w:w="3420"/>
        <w:gridCol w:w="2160"/>
      </w:tblGrid>
      <w:tr w:rsidR="0005055E" w:rsidTr="001860D6">
        <w:tc>
          <w:tcPr>
            <w:tcW w:w="270" w:type="dxa"/>
          </w:tcPr>
          <w:p w:rsidR="0005055E" w:rsidRPr="00AA4C49" w:rsidRDefault="0005055E" w:rsidP="000505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Pr="00AA4C49">
              <w:rPr>
                <w:rFonts w:cstheme="minorHAnsi"/>
                <w:color w:val="000000"/>
              </w:rPr>
              <w:t>No</w:t>
            </w:r>
          </w:p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2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Particulars</w:t>
            </w:r>
          </w:p>
        </w:tc>
        <w:tc>
          <w:tcPr>
            <w:tcW w:w="2160" w:type="dxa"/>
          </w:tcPr>
          <w:p w:rsidR="0005055E" w:rsidRPr="00AA4C49" w:rsidRDefault="0005055E" w:rsidP="000505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Due date</w:t>
            </w:r>
          </w:p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5055E" w:rsidTr="001860D6">
        <w:tc>
          <w:tcPr>
            <w:tcW w:w="270" w:type="dxa"/>
          </w:tcPr>
          <w:p w:rsidR="0005055E" w:rsidRDefault="001860D6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42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Quarter ending 30th June</w:t>
            </w:r>
          </w:p>
        </w:tc>
        <w:tc>
          <w:tcPr>
            <w:tcW w:w="216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15th July</w:t>
            </w:r>
          </w:p>
        </w:tc>
      </w:tr>
      <w:tr w:rsidR="0005055E" w:rsidTr="001860D6">
        <w:tc>
          <w:tcPr>
            <w:tcW w:w="270" w:type="dxa"/>
          </w:tcPr>
          <w:p w:rsidR="0005055E" w:rsidRDefault="001860D6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42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Quarter ending 30th September</w:t>
            </w:r>
          </w:p>
        </w:tc>
        <w:tc>
          <w:tcPr>
            <w:tcW w:w="216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15th October</w:t>
            </w:r>
          </w:p>
        </w:tc>
      </w:tr>
      <w:tr w:rsidR="0005055E" w:rsidTr="001860D6">
        <w:tc>
          <w:tcPr>
            <w:tcW w:w="270" w:type="dxa"/>
          </w:tcPr>
          <w:p w:rsidR="0005055E" w:rsidRDefault="001860D6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3420" w:type="dxa"/>
          </w:tcPr>
          <w:p w:rsidR="0005055E" w:rsidRDefault="0005055E" w:rsidP="000505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Quarter ending 31st December </w:t>
            </w:r>
          </w:p>
        </w:tc>
        <w:tc>
          <w:tcPr>
            <w:tcW w:w="2160" w:type="dxa"/>
          </w:tcPr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15th January</w:t>
            </w:r>
          </w:p>
        </w:tc>
      </w:tr>
      <w:tr w:rsidR="0005055E" w:rsidTr="001860D6">
        <w:tc>
          <w:tcPr>
            <w:tcW w:w="270" w:type="dxa"/>
          </w:tcPr>
          <w:p w:rsidR="0005055E" w:rsidRDefault="001860D6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420" w:type="dxa"/>
          </w:tcPr>
          <w:p w:rsidR="0005055E" w:rsidRDefault="0005055E" w:rsidP="000505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 xml:space="preserve"> Quarter ending 31st March </w:t>
            </w:r>
          </w:p>
        </w:tc>
        <w:tc>
          <w:tcPr>
            <w:tcW w:w="2160" w:type="dxa"/>
          </w:tcPr>
          <w:p w:rsidR="0005055E" w:rsidRPr="00AA4C49" w:rsidRDefault="0005055E" w:rsidP="000505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A4C49">
              <w:rPr>
                <w:rFonts w:cstheme="minorHAnsi"/>
                <w:color w:val="000000"/>
              </w:rPr>
              <w:t>15th May</w:t>
            </w:r>
          </w:p>
          <w:p w:rsidR="0005055E" w:rsidRDefault="0005055E" w:rsidP="00373F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05055E" w:rsidRPr="00AA4C49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73F7C" w:rsidRDefault="00373F7C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A4C49">
        <w:rPr>
          <w:rFonts w:cstheme="minorHAnsi"/>
          <w:color w:val="000000"/>
        </w:rPr>
        <w:t>If quarterly returns are not made within due dates, late fees of Rs.200 per day shall be</w:t>
      </w:r>
      <w:r w:rsidR="0005055E">
        <w:rPr>
          <w:rFonts w:cstheme="minorHAnsi"/>
          <w:color w:val="000000"/>
        </w:rPr>
        <w:t xml:space="preserve"> </w:t>
      </w:r>
      <w:r w:rsidRPr="00AA4C49">
        <w:rPr>
          <w:rFonts w:cstheme="minorHAnsi"/>
          <w:color w:val="000000"/>
        </w:rPr>
        <w:t>attracted under section 234E of the Income Tax Act, 1961 for every day of default</w:t>
      </w:r>
      <w:r w:rsidR="0005055E">
        <w:rPr>
          <w:rFonts w:cstheme="minorHAnsi"/>
          <w:color w:val="000000"/>
        </w:rPr>
        <w:t xml:space="preserve">  </w:t>
      </w:r>
      <w:r w:rsidRPr="00AA4C49">
        <w:rPr>
          <w:rFonts w:cstheme="minorHAnsi"/>
          <w:color w:val="000000"/>
        </w:rPr>
        <w:t>subject to a maximum of the tax required to be deducted.</w:t>
      </w:r>
    </w:p>
    <w:p w:rsidR="0005055E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5055E" w:rsidRPr="00AA4C49" w:rsidRDefault="0005055E" w:rsidP="00373F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Source courtesy</w:t>
      </w:r>
      <w:proofErr w:type="gramStart"/>
      <w:r>
        <w:rPr>
          <w:rFonts w:cstheme="minorHAnsi"/>
          <w:color w:val="000000"/>
        </w:rPr>
        <w:t>:caclubindia.com</w:t>
      </w:r>
      <w:proofErr w:type="gramEnd"/>
    </w:p>
    <w:sectPr w:rsidR="0005055E" w:rsidRPr="00AA4C49" w:rsidSect="003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1D"/>
    <w:multiLevelType w:val="hybridMultilevel"/>
    <w:tmpl w:val="D3306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93E"/>
    <w:multiLevelType w:val="hybridMultilevel"/>
    <w:tmpl w:val="4178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B6D"/>
    <w:multiLevelType w:val="hybridMultilevel"/>
    <w:tmpl w:val="F112C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650A"/>
    <w:multiLevelType w:val="hybridMultilevel"/>
    <w:tmpl w:val="02281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A45"/>
    <w:multiLevelType w:val="hybridMultilevel"/>
    <w:tmpl w:val="11E6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28C2"/>
    <w:multiLevelType w:val="hybridMultilevel"/>
    <w:tmpl w:val="C8AE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175C"/>
    <w:multiLevelType w:val="hybridMultilevel"/>
    <w:tmpl w:val="BB0AF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F7C"/>
    <w:rsid w:val="0005055E"/>
    <w:rsid w:val="001860D6"/>
    <w:rsid w:val="00323AE8"/>
    <w:rsid w:val="0033702D"/>
    <w:rsid w:val="00341696"/>
    <w:rsid w:val="00373F7C"/>
    <w:rsid w:val="003F13B9"/>
    <w:rsid w:val="00524C08"/>
    <w:rsid w:val="005B2A6F"/>
    <w:rsid w:val="00762EAA"/>
    <w:rsid w:val="007E296F"/>
    <w:rsid w:val="00AA4C49"/>
    <w:rsid w:val="00B74860"/>
    <w:rsid w:val="00CA6861"/>
    <w:rsid w:val="00D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B9"/>
  </w:style>
  <w:style w:type="paragraph" w:styleId="Heading1">
    <w:name w:val="heading 1"/>
    <w:basedOn w:val="Normal"/>
    <w:next w:val="Normal"/>
    <w:link w:val="Heading1Char"/>
    <w:uiPriority w:val="9"/>
    <w:qFormat/>
    <w:rsid w:val="00AA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3B90"/>
    <w:pPr>
      <w:ind w:left="720"/>
      <w:contextualSpacing/>
    </w:pPr>
  </w:style>
  <w:style w:type="table" w:styleId="TableGrid">
    <w:name w:val="Table Grid"/>
    <w:basedOn w:val="TableNormal"/>
    <w:uiPriority w:val="59"/>
    <w:rsid w:val="00B7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9</cp:revision>
  <dcterms:created xsi:type="dcterms:W3CDTF">2016-06-08T09:49:00Z</dcterms:created>
  <dcterms:modified xsi:type="dcterms:W3CDTF">2016-06-13T05:37:00Z</dcterms:modified>
</cp:coreProperties>
</file>